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EastAsia"/>
          <w:b/>
          <w:spacing w:val="-1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b/>
          <w:spacing w:val="-1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  <w:lang w:val="en-US" w:eastAsia="zh-CN"/>
        </w:rPr>
        <w:t>关于开展“大国少年·行走中国”暑期主题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b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  <w:lang w:val="en-US" w:eastAsia="zh-CN"/>
        </w:rPr>
        <w:t>研学活动通知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为深入贯彻落实党的二十大精神，牢记总书记嘱托，坚守为党育人、为国育才初心使命，落实立德树人根本任务，团结广大儿童工作者做儿童成长的引路人、儿童权益的守护人、儿童未来的筑梦人，推动2023年“双有”活动方案中的</w:t>
      </w:r>
      <w:r>
        <w:rPr>
          <w:rFonts w:hint="eastAsia" w:ascii="仿宋_GB2312" w:hAnsi="Calibri" w:eastAsia="仿宋_GB2312" w:cs="仿宋_GB2312"/>
          <w:bCs/>
          <w:sz w:val="32"/>
          <w:szCs w:val="32"/>
        </w:rPr>
        <w:t>“大国少年”主题研学活动</w:t>
      </w: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走深走实，全国少年儿童“双有”主题教育活动组委会、中国儿童中心儿童研学院决定开展“大国少年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·</w:t>
      </w: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行走中国”暑期主题研学活动。具体安排如下：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（一）指导单位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全国少年儿童“双有”主题教育活动组委会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中国儿童中心儿童研学院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各地校外教育机构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大国少年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·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行走中国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2023年暑期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</w:rPr>
        <w:t>全国各地</w:t>
      </w: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6至</w:t>
      </w:r>
      <w:r>
        <w:rPr>
          <w:rFonts w:hint="eastAsia" w:ascii="仿宋_GB2312" w:hAnsi="Calibri" w:eastAsia="仿宋_GB2312" w:cs="仿宋_GB2312"/>
          <w:bCs/>
          <w:sz w:val="32"/>
          <w:szCs w:val="32"/>
        </w:rPr>
        <w:t>16岁少年儿童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（一）活动征集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以“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大国少年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·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行走中国</w:t>
      </w: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”为暑期研学活动统一品牌，围绕三个板块、十个主题（引路人板块，包括红色研学、亲子研学、传统文化研学三个主题；守护人板块，包括生命安全教育研学、公益研学两个主题；筑梦人板块，包括科技研学、体育研学、美育研学、劳动研学、生态研学五个主题），面向全国校外教育活动阵地征集优质研学路线、研学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Calibri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 w:val="0"/>
          <w:sz w:val="32"/>
          <w:szCs w:val="32"/>
          <w:lang w:val="en-US" w:eastAsia="zh-CN"/>
        </w:rPr>
        <w:t>1.征集时间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即日起，至7月10日。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2.研学课程具体要求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着眼于构建“目标—计划—内容—路线—评价”连贯一体的育人课程结构体系征集优秀研学课程，挖掘各地资源优势，突出地域特色，坚持教育性、实践性、安全性、公益性的原则，遴选创意新颖、主题鲜明、内容丰富的活动案例，形成适合不同学段、不同主题的研学实践教育资源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研学课程可独立撰写，也可合作撰写，但不超过3人。案例简明扼要，特色突出，字数在4000字以内。在提交文字材料的同时附5-8张有代表性的图片。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3.研学路线具体要求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研学路线是在一定区域范围内，由研学营地、研学基地、交通线路等组成的综合体，是研学实践活动的基础，是研学实践课程的载体。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研学路线</w:t>
      </w:r>
      <w:r>
        <w:rPr>
          <w:rFonts w:ascii="仿宋_GB2312" w:hAnsi="仿宋_GB2312" w:eastAsia="仿宋_GB2312" w:cs="仿宋_GB2312"/>
          <w:sz w:val="32"/>
          <w:szCs w:val="40"/>
        </w:rPr>
        <w:t>应在时间和空间、内容和形式上进行精心设计</w:t>
      </w:r>
      <w:r>
        <w:rPr>
          <w:rFonts w:hint="eastAsia" w:ascii="仿宋_GB2312" w:hAnsi="仿宋_GB2312" w:eastAsia="仿宋_GB2312" w:cs="仿宋_GB2312"/>
          <w:sz w:val="32"/>
          <w:szCs w:val="40"/>
        </w:rPr>
        <w:t>，合作者一般不超过5人。对路线的描述应简明扼要，字数在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000字以内。提交文字材料的同时附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-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>张有代表性的图片。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4.报送方式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报送研学实践课程的单位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填写《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研学实践课程登记表</w:t>
      </w:r>
      <w:r>
        <w:rPr>
          <w:rFonts w:hint="eastAsia" w:ascii="仿宋_GB2312" w:hAnsi="仿宋_GB2312" w:eastAsia="仿宋_GB2312" w:cs="仿宋_GB2312"/>
          <w:sz w:val="32"/>
          <w:szCs w:val="40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</w:rPr>
        <w:t>研学实践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课程案例文字稿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附加案例相关图片。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报送研学路线的单位，填写《研学路线登记表》和研学路线案例文字稿，附加案例相关图片。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研学课程、研学路线均于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日前报送，</w: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40"/>
        </w:rPr>
        <w:instrText xml:space="preserve"> HYPERLINK "mailto:发至邮箱shuangyou07@126.com" </w:instrTex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0"/>
        </w:rPr>
        <w:t>发送至邮箱hongseyanxue</w:t>
      </w:r>
      <w:r>
        <w:rPr>
          <w:rFonts w:hint="eastAsia" w:ascii="仿宋" w:hAnsi="仿宋" w:eastAsia="仿宋" w:cs="仿宋"/>
          <w:sz w:val="32"/>
          <w:szCs w:val="40"/>
        </w:rPr>
        <w:t>@</w:t>
      </w:r>
      <w:r>
        <w:rPr>
          <w:rFonts w:hint="eastAsia" w:ascii="仿宋_GB2312" w:hAnsi="仿宋_GB2312" w:eastAsia="仿宋_GB2312" w:cs="仿宋_GB2312"/>
          <w:sz w:val="32"/>
          <w:szCs w:val="40"/>
        </w:rPr>
        <w:t>126.com</w: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40"/>
        </w:rPr>
        <w:t>，邮件以“单位名称+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大国少年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·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行走中国</w:t>
      </w: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暑期研学</w:t>
      </w:r>
      <w:r>
        <w:rPr>
          <w:rFonts w:hint="eastAsia" w:ascii="仿宋_GB2312" w:hAnsi="仿宋_GB2312" w:eastAsia="仿宋_GB2312" w:cs="仿宋_GB2312"/>
          <w:sz w:val="32"/>
          <w:szCs w:val="40"/>
        </w:rPr>
        <w:t>”的格式命名。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5.审核发布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全国“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中国儿童中心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儿童研学院</w:t>
      </w:r>
      <w:r>
        <w:rPr>
          <w:rFonts w:hint="eastAsia" w:ascii="仿宋_GB2312" w:hAnsi="仿宋_GB2312" w:eastAsia="仿宋_GB2312" w:cs="仿宋_GB2312"/>
          <w:sz w:val="32"/>
          <w:szCs w:val="40"/>
        </w:rPr>
        <w:t>组织研学实践教育专家和学者进行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评审。审核通过的优质研学课程和路线，将在“双有”网站和微信公众号公布。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（二）活动推广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全国“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中国儿童中心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儿童研学院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统筹所征集的研学课程和路线，按主题分类统一进行图文设计，制定宣发内容，于7月上旬在“双有”网站、公众号和校外教育活动线上平台进行发布。各单位同步在各自官方媒体进行发布。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（三）活动执行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全国“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中国儿童中心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儿童研学院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作为活动指导单位，搭建各单位研学资源与生源的沟通桥梁。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各单位作为落地执行机构，具体负责以下事项：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1.受理少年儿童报名缴费事宜；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2.组织开展暑期主题研学活动，可在本地或组团前往其他城市实施；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3.接待或协助其他单位来本地开展暑期主题研学活动。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全国“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”活动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组委会与活动执行单位联合颁发“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大国少年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·</w:t>
      </w:r>
      <w:r>
        <w:rPr>
          <w:rFonts w:hint="default" w:ascii="仿宋_GB2312" w:hAnsi="Calibri" w:eastAsia="仿宋_GB2312" w:cs="仿宋_GB2312"/>
          <w:bCs/>
          <w:sz w:val="32"/>
          <w:szCs w:val="32"/>
          <w:lang w:val="en-US" w:eastAsia="zh-CN"/>
        </w:rPr>
        <w:t>行走中国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”暑期主题研学活动结营证书。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2.儿童研学院邀请部分优秀组织单位参加于8月11日在中国儿童中心举办的中国少年儿童研学活动交流大会，并作交流发言。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.各单位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于9月15日前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双有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和儿童研学院</w:t>
      </w:r>
      <w:r>
        <w:rPr>
          <w:rFonts w:hint="eastAsia" w:ascii="仿宋_GB2312" w:hAnsi="仿宋_GB2312" w:eastAsia="仿宋_GB2312" w:cs="仿宋_GB2312"/>
          <w:sz w:val="32"/>
          <w:szCs w:val="40"/>
        </w:rPr>
        <w:t>提交本单位开展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暑期主题研学</w:t>
      </w:r>
      <w:r>
        <w:rPr>
          <w:rFonts w:hint="eastAsia" w:ascii="仿宋_GB2312" w:hAnsi="仿宋_GB2312" w:eastAsia="仿宋_GB2312" w:cs="仿宋_GB2312"/>
          <w:sz w:val="32"/>
          <w:szCs w:val="40"/>
        </w:rPr>
        <w:t>活动情况总结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4.儿童研学院将符合标准的研学课程和路线收录至“大国少年”品牌研学活动资源库以及《中国儿童中心儿童研学院优秀研学路线及研学实践课程（2022-2023）》，适时对外发布。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5.在2023“双有”活动总结会上对此活动进行专题总结。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吴老师：010-66167280，18701384982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曲老师：010-66115329，13911257352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eastAsia="zh-CN"/>
        </w:rPr>
        <w:t>邮</w:t>
      </w: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bCs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 w:cs="仿宋_GB2312"/>
          <w:sz w:val="32"/>
          <w:szCs w:val="40"/>
        </w:rPr>
        <w:t>hongseyanxue</w:t>
      </w:r>
      <w:r>
        <w:rPr>
          <w:rFonts w:hint="eastAsia" w:ascii="仿宋" w:hAnsi="仿宋" w:eastAsia="仿宋" w:cs="仿宋"/>
          <w:sz w:val="32"/>
          <w:szCs w:val="40"/>
        </w:rPr>
        <w:t>@</w:t>
      </w:r>
      <w:r>
        <w:rPr>
          <w:rFonts w:hint="eastAsia" w:ascii="仿宋_GB2312" w:hAnsi="仿宋_GB2312" w:eastAsia="仿宋_GB2312" w:cs="仿宋_GB2312"/>
          <w:sz w:val="32"/>
          <w:szCs w:val="40"/>
        </w:rPr>
        <w:t>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Calibri" w:eastAsia="仿宋_GB2312" w:cs="仿宋_GB2312"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.研学实践课程登记表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.研学路线登记表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模板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600" w:lineRule="exact"/>
        <w:jc w:val="right"/>
        <w:rPr>
          <w:rFonts w:ascii="仿宋_GB2312" w:hAnsi="仿宋" w:eastAsia="仿宋_GB2312"/>
          <w:b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</w:rPr>
        <w:t>全国少年儿童“双有”主题教育活动</w:t>
      </w:r>
    </w:p>
    <w:p>
      <w:pPr>
        <w:spacing w:line="600" w:lineRule="exact"/>
        <w:jc w:val="center"/>
        <w:rPr>
          <w:rFonts w:ascii="仿宋_GB2312" w:hAnsi="仿宋" w:eastAsia="仿宋_GB2312"/>
          <w:b/>
          <w:color w:val="auto"/>
          <w:sz w:val="30"/>
          <w:szCs w:val="30"/>
        </w:rPr>
      </w:pPr>
      <w:r>
        <w:rPr>
          <w:rFonts w:hint="eastAsia" w:ascii="仿宋_GB2312" w:hAnsi="仿宋" w:eastAsia="仿宋_GB2312"/>
          <w:b/>
          <w:color w:val="auto"/>
          <w:sz w:val="30"/>
          <w:szCs w:val="30"/>
        </w:rPr>
        <w:t xml:space="preserve">                     组织委员会</w:t>
      </w:r>
    </w:p>
    <w:p>
      <w:pPr>
        <w:spacing w:line="600" w:lineRule="exact"/>
        <w:jc w:val="center"/>
        <w:rPr>
          <w:rFonts w:ascii="仿宋_GB2312" w:hAnsi="仿宋" w:eastAsia="仿宋_GB2312"/>
          <w:b/>
          <w:color w:val="auto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" w:eastAsia="仿宋_GB2312"/>
          <w:b/>
          <w:color w:val="auto"/>
          <w:sz w:val="30"/>
          <w:szCs w:val="30"/>
        </w:rPr>
        <w:t xml:space="preserve">                       2023年</w:t>
      </w:r>
      <w:r>
        <w:rPr>
          <w:rFonts w:hint="eastAsia" w:ascii="仿宋_GB2312" w:hAnsi="仿宋" w:eastAsia="仿宋_GB2312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/>
          <w:b/>
          <w:color w:val="auto"/>
          <w:sz w:val="30"/>
          <w:szCs w:val="30"/>
        </w:rPr>
        <w:t>月</w:t>
      </w:r>
      <w:r>
        <w:rPr>
          <w:rFonts w:hint="eastAsia" w:ascii="仿宋_GB2312" w:hAnsi="仿宋" w:eastAsia="仿宋_GB2312"/>
          <w:b/>
          <w:color w:val="auto"/>
          <w:sz w:val="30"/>
          <w:szCs w:val="30"/>
          <w:lang w:val="en-US" w:eastAsia="zh-CN"/>
        </w:rPr>
        <w:t>17日</w:t>
      </w:r>
    </w:p>
    <w:p>
      <w:pPr>
        <w:spacing w:line="520" w:lineRule="exact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1-1</w:t>
      </w:r>
    </w:p>
    <w:p>
      <w:pPr>
        <w:spacing w:line="520" w:lineRule="exact"/>
        <w:jc w:val="center"/>
        <w:outlineLvl w:val="0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儿童研学院研学实践课程登记表</w:t>
      </w:r>
    </w:p>
    <w:p>
      <w:pPr>
        <w:spacing w:line="520" w:lineRule="exact"/>
        <w:jc w:val="center"/>
        <w:rPr>
          <w:rFonts w:ascii="方正小标宋简体" w:hAnsi="等线" w:eastAsia="方正小标宋简体" w:cs="Times New Roman"/>
          <w:sz w:val="22"/>
        </w:rPr>
      </w:pPr>
      <w:r>
        <w:rPr>
          <w:rFonts w:hint="eastAsia" w:ascii="方正小标宋简体" w:hAnsi="等线" w:eastAsia="方正小标宋简体" w:cs="Times New Roman"/>
          <w:sz w:val="22"/>
        </w:rPr>
        <w:t>（一课程一表）</w:t>
      </w:r>
    </w:p>
    <w:tbl>
      <w:tblPr>
        <w:tblStyle w:val="6"/>
        <w:tblW w:w="51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433"/>
        <w:gridCol w:w="122"/>
        <w:gridCol w:w="1748"/>
        <w:gridCol w:w="251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撰写单位</w:t>
            </w:r>
          </w:p>
        </w:tc>
        <w:tc>
          <w:tcPr>
            <w:tcW w:w="6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对应板块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仿宋_GB2312" w:hAnsi="仿宋" w:eastAsia="仿宋_GB2312" w:cs="宋体"/>
                <w:color w:val="000000"/>
                <w:spacing w:val="-2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引路人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守护人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筑梦人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对应主题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□红色研学       □亲子研学      □传统文化研学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□生命安全教育研学    □公益研学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□科技研学 □体育研学 □美育研学 □劳动研学 □生态研学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适合学段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 w:cs="宋体"/>
                <w:color w:val="000000"/>
                <w:spacing w:val="-2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课程简介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1-2</w:t>
      </w:r>
    </w:p>
    <w:p>
      <w:pPr>
        <w:spacing w:line="560" w:lineRule="exact"/>
        <w:jc w:val="center"/>
        <w:outlineLvl w:val="0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儿童研学院研学实践课程模板</w:t>
      </w:r>
    </w:p>
    <w:p>
      <w:pPr>
        <w:spacing w:line="52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480" w:lineRule="exact"/>
        <w:ind w:firstLine="555"/>
        <w:jc w:val="center"/>
        <w:rPr>
          <w:rFonts w:ascii="黑体" w:hAnsi="黑体" w:eastAsia="黑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课程名称</w:t>
      </w:r>
      <w:r>
        <w:rPr>
          <w:rFonts w:hint="eastAsia" w:ascii="黑体" w:hAnsi="黑体" w:eastAsia="黑体" w:cs="Times New Roman"/>
          <w:sz w:val="24"/>
          <w:szCs w:val="44"/>
        </w:rPr>
        <w:t>（</w:t>
      </w:r>
      <w:r>
        <w:rPr>
          <w:rFonts w:ascii="黑体" w:hAnsi="黑体" w:eastAsia="黑体" w:cs="Times New Roman"/>
          <w:sz w:val="24"/>
          <w:szCs w:val="44"/>
        </w:rPr>
        <w:t>黑体</w:t>
      </w:r>
      <w:r>
        <w:rPr>
          <w:rFonts w:hint="eastAsia" w:ascii="黑体" w:hAnsi="黑体" w:eastAsia="黑体" w:cs="Times New Roman"/>
          <w:sz w:val="24"/>
          <w:szCs w:val="44"/>
        </w:rPr>
        <w:t>，</w:t>
      </w:r>
      <w:r>
        <w:rPr>
          <w:rFonts w:ascii="黑体" w:hAnsi="黑体" w:eastAsia="黑体" w:cs="Times New Roman"/>
          <w:sz w:val="24"/>
          <w:szCs w:val="44"/>
        </w:rPr>
        <w:t>小</w:t>
      </w:r>
      <w:r>
        <w:rPr>
          <w:rFonts w:hint="eastAsia" w:ascii="黑体" w:hAnsi="黑体" w:eastAsia="黑体" w:cs="Times New Roman"/>
          <w:sz w:val="24"/>
          <w:szCs w:val="44"/>
        </w:rPr>
        <w:t>二</w:t>
      </w:r>
      <w:r>
        <w:rPr>
          <w:rFonts w:ascii="黑体" w:hAnsi="黑体" w:eastAsia="黑体" w:cs="Times New Roman"/>
          <w:sz w:val="24"/>
          <w:szCs w:val="44"/>
        </w:rPr>
        <w:t>号）</w:t>
      </w:r>
    </w:p>
    <w:p>
      <w:pPr>
        <w:spacing w:line="480" w:lineRule="exact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作者单位 作者</w:t>
      </w:r>
      <w:r>
        <w:rPr>
          <w:rFonts w:ascii="宋体" w:hAnsi="宋体" w:eastAsia="宋体" w:cs="Times New Roman"/>
          <w:szCs w:val="21"/>
        </w:rPr>
        <w:t>姓名</w:t>
      </w:r>
      <w:r>
        <w:rPr>
          <w:rFonts w:hint="eastAsia" w:ascii="宋体" w:hAnsi="宋体" w:eastAsia="宋体" w:cs="Times New Roman"/>
          <w:szCs w:val="21"/>
        </w:rPr>
        <w:t xml:space="preserve"> （</w:t>
      </w:r>
      <w:r>
        <w:rPr>
          <w:rFonts w:ascii="宋体" w:hAnsi="宋体" w:eastAsia="宋体" w:cs="Times New Roman"/>
          <w:szCs w:val="21"/>
        </w:rPr>
        <w:t>宋体，五号）</w:t>
      </w:r>
    </w:p>
    <w:p>
      <w:pPr>
        <w:spacing w:line="480" w:lineRule="exact"/>
        <w:ind w:firstLine="555"/>
        <w:jc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</w:t>
      </w:r>
      <w:r>
        <w:rPr>
          <w:rFonts w:ascii="仿宋_GB2312" w:hAnsi="Calibri" w:eastAsia="仿宋_GB2312" w:cs="Times New Roman"/>
          <w:sz w:val="28"/>
          <w:szCs w:val="28"/>
        </w:rPr>
        <w:t>正文，宋体小四号，</w:t>
      </w:r>
      <w:r>
        <w:rPr>
          <w:rFonts w:hint="eastAsia" w:ascii="仿宋_GB2312" w:hAnsi="Calibri" w:eastAsia="仿宋_GB2312" w:cs="Times New Roman"/>
          <w:sz w:val="28"/>
          <w:szCs w:val="28"/>
        </w:rPr>
        <w:t>1</w:t>
      </w:r>
      <w:r>
        <w:rPr>
          <w:rFonts w:ascii="仿宋_GB2312" w:hAnsi="Calibri" w:eastAsia="仿宋_GB2312" w:cs="Times New Roman"/>
          <w:sz w:val="28"/>
          <w:szCs w:val="28"/>
        </w:rPr>
        <w:t>.5倍行距）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一、活动主题（写明活动主题，应精炼、精致，是对活动的高度概括）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二、活动背景（写明进行此次活动的研发背景、政策依据、教育理念等）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三、活动目标（可参照三维教育目标或核心素养，是儿童参加活动之后，达到的能力水平或预期效果）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四、活动对象（活动参与者基本情况，包括年龄、人数等信息）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五、活动时间（包括活动的日期及具体活动时长）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六、活动准备（写明此次活动前期准备，包括材料、人员、场地等，可以分为组织者需要准备和参与者需要准备两个方面）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七、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内容</w:t>
      </w:r>
      <w:r>
        <w:rPr>
          <w:rFonts w:hint="eastAsia" w:ascii="宋体" w:hAnsi="宋体" w:eastAsia="宋体" w:cs="Times New Roman"/>
          <w:sz w:val="24"/>
        </w:rPr>
        <w:t>安排（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课程的具体内容</w:t>
      </w:r>
      <w:r>
        <w:rPr>
          <w:rFonts w:hint="eastAsia" w:ascii="宋体" w:hAnsi="宋体" w:eastAsia="宋体" w:cs="Times New Roman"/>
          <w:sz w:val="24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八、活动过程（这是案例的主体部分，以时间或内容为线索依次说明各个板块和环节的安排，要说明做了什么、怎么做以及为什么这样做，突出设计意图及想法）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九、活动效果（对照活动目标，说明活动特色及创新、参与对象反馈、专家及媒体等社会反响）</w:t>
      </w:r>
    </w:p>
    <w:p>
      <w:pPr>
        <w:spacing w:line="520" w:lineRule="exact"/>
        <w:ind w:firstLine="48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</w:rPr>
        <w:t>十、活动反思（根据活动效果进行活动复盘，写明对组织该项活动发现问题后提出的建设性解决思路）</w:t>
      </w:r>
    </w:p>
    <w:p>
      <w:pPr>
        <w:widowControl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2-1</w:t>
      </w:r>
    </w:p>
    <w:p>
      <w:pPr>
        <w:spacing w:line="520" w:lineRule="exact"/>
        <w:jc w:val="center"/>
        <w:outlineLvl w:val="0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儿童研学院研学路线登记表</w:t>
      </w:r>
    </w:p>
    <w:p>
      <w:pPr>
        <w:spacing w:line="520" w:lineRule="exact"/>
        <w:jc w:val="center"/>
        <w:rPr>
          <w:rFonts w:ascii="方正小标宋简体" w:hAnsi="等线" w:eastAsia="方正小标宋简体" w:cs="Times New Roman"/>
          <w:sz w:val="22"/>
        </w:rPr>
      </w:pPr>
      <w:r>
        <w:rPr>
          <w:rFonts w:hint="eastAsia" w:ascii="方正小标宋简体" w:hAnsi="等线" w:eastAsia="方正小标宋简体" w:cs="Times New Roman"/>
          <w:sz w:val="22"/>
        </w:rPr>
        <w:t>（一路线一表）</w:t>
      </w:r>
    </w:p>
    <w:tbl>
      <w:tblPr>
        <w:tblStyle w:val="6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04"/>
        <w:gridCol w:w="122"/>
        <w:gridCol w:w="1748"/>
        <w:gridCol w:w="251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567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路线名称</w:t>
            </w:r>
          </w:p>
        </w:tc>
        <w:tc>
          <w:tcPr>
            <w:tcW w:w="6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对应板块</w:t>
            </w:r>
          </w:p>
        </w:tc>
        <w:tc>
          <w:tcPr>
            <w:tcW w:w="6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引路人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守护人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筑梦人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对应主题</w:t>
            </w:r>
          </w:p>
        </w:tc>
        <w:tc>
          <w:tcPr>
            <w:tcW w:w="6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红色研学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亲子研学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传统文化研学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生命安全教育研学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公益研学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科技研学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体育研学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美育研学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劳动研学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生态研学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适合学段</w:t>
            </w:r>
          </w:p>
        </w:tc>
        <w:tc>
          <w:tcPr>
            <w:tcW w:w="67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rPr>
          <w:trHeight w:val="51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路线简介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2-2</w:t>
      </w:r>
    </w:p>
    <w:p>
      <w:pPr>
        <w:spacing w:line="560" w:lineRule="exact"/>
        <w:jc w:val="center"/>
        <w:outlineLvl w:val="0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儿童研学院研学路线模板</w:t>
      </w:r>
    </w:p>
    <w:p>
      <w:pPr>
        <w:spacing w:line="52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480" w:lineRule="exact"/>
        <w:ind w:firstLine="555"/>
        <w:jc w:val="center"/>
        <w:rPr>
          <w:rFonts w:ascii="黑体" w:hAnsi="黑体" w:eastAsia="黑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路线名称</w:t>
      </w:r>
      <w:r>
        <w:rPr>
          <w:rFonts w:hint="eastAsia" w:ascii="黑体" w:hAnsi="黑体" w:eastAsia="黑体" w:cs="Times New Roman"/>
          <w:sz w:val="24"/>
          <w:szCs w:val="44"/>
        </w:rPr>
        <w:t>（</w:t>
      </w:r>
      <w:r>
        <w:rPr>
          <w:rFonts w:ascii="黑体" w:hAnsi="黑体" w:eastAsia="黑体" w:cs="Times New Roman"/>
          <w:sz w:val="24"/>
          <w:szCs w:val="44"/>
        </w:rPr>
        <w:t>黑体</w:t>
      </w:r>
      <w:r>
        <w:rPr>
          <w:rFonts w:hint="eastAsia" w:ascii="黑体" w:hAnsi="黑体" w:eastAsia="黑体" w:cs="Times New Roman"/>
          <w:sz w:val="24"/>
          <w:szCs w:val="44"/>
        </w:rPr>
        <w:t>，</w:t>
      </w:r>
      <w:r>
        <w:rPr>
          <w:rFonts w:ascii="黑体" w:hAnsi="黑体" w:eastAsia="黑体" w:cs="Times New Roman"/>
          <w:sz w:val="24"/>
          <w:szCs w:val="44"/>
        </w:rPr>
        <w:t>小</w:t>
      </w:r>
      <w:r>
        <w:rPr>
          <w:rFonts w:hint="eastAsia" w:ascii="黑体" w:hAnsi="黑体" w:eastAsia="黑体" w:cs="Times New Roman"/>
          <w:sz w:val="24"/>
          <w:szCs w:val="44"/>
        </w:rPr>
        <w:t>二</w:t>
      </w:r>
      <w:r>
        <w:rPr>
          <w:rFonts w:ascii="黑体" w:hAnsi="黑体" w:eastAsia="黑体" w:cs="Times New Roman"/>
          <w:sz w:val="24"/>
          <w:szCs w:val="44"/>
        </w:rPr>
        <w:t>号）</w:t>
      </w:r>
    </w:p>
    <w:p>
      <w:pPr>
        <w:spacing w:line="480" w:lineRule="exact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作者单位 作者</w:t>
      </w:r>
      <w:r>
        <w:rPr>
          <w:rFonts w:ascii="宋体" w:hAnsi="宋体" w:eastAsia="宋体" w:cs="Times New Roman"/>
          <w:szCs w:val="21"/>
        </w:rPr>
        <w:t>姓名</w:t>
      </w:r>
      <w:r>
        <w:rPr>
          <w:rFonts w:hint="eastAsia" w:ascii="宋体" w:hAnsi="宋体" w:eastAsia="宋体" w:cs="Times New Roman"/>
          <w:szCs w:val="21"/>
        </w:rPr>
        <w:t xml:space="preserve"> （</w:t>
      </w:r>
      <w:r>
        <w:rPr>
          <w:rFonts w:ascii="宋体" w:hAnsi="宋体" w:eastAsia="宋体" w:cs="Times New Roman"/>
          <w:szCs w:val="21"/>
        </w:rPr>
        <w:t>宋体，五号）</w:t>
      </w:r>
    </w:p>
    <w:p>
      <w:pPr>
        <w:spacing w:line="480" w:lineRule="exact"/>
        <w:ind w:firstLine="555"/>
        <w:jc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</w:t>
      </w:r>
      <w:r>
        <w:rPr>
          <w:rFonts w:ascii="仿宋_GB2312" w:hAnsi="Calibri" w:eastAsia="仿宋_GB2312" w:cs="Times New Roman"/>
          <w:sz w:val="28"/>
          <w:szCs w:val="28"/>
        </w:rPr>
        <w:t>正文，宋体小四号，</w:t>
      </w:r>
      <w:r>
        <w:rPr>
          <w:rFonts w:hint="eastAsia" w:ascii="仿宋_GB2312" w:hAnsi="Calibri" w:eastAsia="仿宋_GB2312" w:cs="Times New Roman"/>
          <w:sz w:val="28"/>
          <w:szCs w:val="28"/>
        </w:rPr>
        <w:t>1</w:t>
      </w:r>
      <w:r>
        <w:rPr>
          <w:rFonts w:ascii="仿宋_GB2312" w:hAnsi="Calibri" w:eastAsia="仿宋_GB2312" w:cs="Times New Roman"/>
          <w:sz w:val="28"/>
          <w:szCs w:val="28"/>
        </w:rPr>
        <w:t>.5倍行距）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一、路线主题（写明活动主题，应精炼、精致，是对活动的高度概括）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二、路线目标（</w:t>
      </w:r>
      <w:r>
        <w:rPr>
          <w:rFonts w:ascii="宋体" w:hAnsi="宋体" w:eastAsia="宋体" w:cs="Times New Roman"/>
          <w:sz w:val="24"/>
        </w:rPr>
        <w:t>从知识技能、过程与方法、情感态度和价值观等方面描述所要达到的目标</w:t>
      </w:r>
      <w:r>
        <w:rPr>
          <w:rFonts w:hint="eastAsia" w:ascii="宋体" w:hAnsi="宋体" w:eastAsia="宋体" w:cs="Times New Roman"/>
          <w:sz w:val="24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三、路线资源（</w:t>
      </w:r>
      <w:r>
        <w:rPr>
          <w:rFonts w:ascii="宋体" w:hAnsi="宋体" w:eastAsia="宋体" w:cs="Times New Roman"/>
          <w:sz w:val="24"/>
        </w:rPr>
        <w:t>研学线路</w:t>
      </w:r>
      <w:r>
        <w:rPr>
          <w:rFonts w:hint="eastAsia" w:ascii="宋体" w:hAnsi="宋体" w:eastAsia="宋体" w:cs="Times New Roman"/>
          <w:sz w:val="24"/>
        </w:rPr>
        <w:t>中能提供的研学</w:t>
      </w:r>
      <w:r>
        <w:rPr>
          <w:rFonts w:ascii="宋体" w:hAnsi="宋体" w:eastAsia="宋体" w:cs="Times New Roman"/>
          <w:sz w:val="24"/>
        </w:rPr>
        <w:t>课程</w:t>
      </w:r>
      <w:r>
        <w:rPr>
          <w:rFonts w:hint="eastAsia" w:ascii="宋体" w:hAnsi="宋体" w:eastAsia="宋体" w:cs="Times New Roman"/>
          <w:sz w:val="24"/>
        </w:rPr>
        <w:t>所需的资源）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四、时间安排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五、研学过程（包括</w:t>
      </w:r>
      <w:r>
        <w:rPr>
          <w:rFonts w:ascii="宋体" w:hAnsi="宋体" w:eastAsia="宋体" w:cs="Times New Roman"/>
          <w:sz w:val="24"/>
        </w:rPr>
        <w:t>课程内容呈现方式</w:t>
      </w:r>
      <w:r>
        <w:rPr>
          <w:rFonts w:hint="eastAsia" w:ascii="宋体" w:hAnsi="宋体" w:eastAsia="宋体" w:cs="Times New Roman"/>
          <w:sz w:val="24"/>
        </w:rPr>
        <w:t>，</w:t>
      </w:r>
      <w:r>
        <w:rPr>
          <w:rFonts w:ascii="宋体" w:hAnsi="宋体" w:eastAsia="宋体" w:cs="Times New Roman"/>
          <w:sz w:val="24"/>
        </w:rPr>
        <w:t>过程性学习任务</w:t>
      </w:r>
      <w:r>
        <w:rPr>
          <w:rFonts w:hint="eastAsia" w:ascii="宋体" w:hAnsi="宋体" w:eastAsia="宋体" w:cs="Times New Roman"/>
          <w:sz w:val="24"/>
        </w:rPr>
        <w:t>以及课后作业等）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六、沿线配套（住宿、餐饮、医疗等研学路线中的配套设施）</w:t>
      </w:r>
    </w:p>
    <w:p>
      <w:pPr>
        <w:spacing w:line="560" w:lineRule="exact"/>
        <w:rPr>
          <w:rFonts w:hint="eastAsia" w:ascii="仿宋_GB2312" w:hAnsi="Calibri" w:eastAsia="仿宋_GB2312" w:cs="仿宋_GB2312"/>
          <w:bCs/>
          <w:sz w:val="32"/>
          <w:szCs w:val="32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wYzg1YzQxZjkwOTMwZTAxMzUxZWZhMzBiMzgifQ=="/>
  </w:docVars>
  <w:rsids>
    <w:rsidRoot w:val="238B4FE0"/>
    <w:rsid w:val="01F93C71"/>
    <w:rsid w:val="02353A89"/>
    <w:rsid w:val="086B7ED0"/>
    <w:rsid w:val="092F722A"/>
    <w:rsid w:val="09756E61"/>
    <w:rsid w:val="0B006112"/>
    <w:rsid w:val="0B3612C0"/>
    <w:rsid w:val="0CE17CFF"/>
    <w:rsid w:val="13294F44"/>
    <w:rsid w:val="14866AF7"/>
    <w:rsid w:val="16FB36F5"/>
    <w:rsid w:val="1B2D38AC"/>
    <w:rsid w:val="1C2D2228"/>
    <w:rsid w:val="1F0A1BE1"/>
    <w:rsid w:val="1F3B6F5D"/>
    <w:rsid w:val="20A26336"/>
    <w:rsid w:val="212830C1"/>
    <w:rsid w:val="22113EAF"/>
    <w:rsid w:val="238B4FE0"/>
    <w:rsid w:val="25DA0320"/>
    <w:rsid w:val="280A3BBA"/>
    <w:rsid w:val="28637C49"/>
    <w:rsid w:val="2BA2368E"/>
    <w:rsid w:val="2C9315C7"/>
    <w:rsid w:val="2ED92AF8"/>
    <w:rsid w:val="31293FC0"/>
    <w:rsid w:val="31D251C9"/>
    <w:rsid w:val="32492D25"/>
    <w:rsid w:val="34425A0E"/>
    <w:rsid w:val="354F0811"/>
    <w:rsid w:val="364436C6"/>
    <w:rsid w:val="37163B36"/>
    <w:rsid w:val="381244DD"/>
    <w:rsid w:val="38AD49EF"/>
    <w:rsid w:val="39A836D9"/>
    <w:rsid w:val="41351F85"/>
    <w:rsid w:val="46323D99"/>
    <w:rsid w:val="465F7D79"/>
    <w:rsid w:val="468A4FF4"/>
    <w:rsid w:val="471274C2"/>
    <w:rsid w:val="47C4451E"/>
    <w:rsid w:val="47E1501D"/>
    <w:rsid w:val="4E125D58"/>
    <w:rsid w:val="4EAA4484"/>
    <w:rsid w:val="4FD73926"/>
    <w:rsid w:val="54CD67FD"/>
    <w:rsid w:val="57FA1FD8"/>
    <w:rsid w:val="5A8877C5"/>
    <w:rsid w:val="5B8D3163"/>
    <w:rsid w:val="5E3F546A"/>
    <w:rsid w:val="5F2A15F3"/>
    <w:rsid w:val="60293365"/>
    <w:rsid w:val="625243BA"/>
    <w:rsid w:val="62D47C1D"/>
    <w:rsid w:val="650E70C3"/>
    <w:rsid w:val="666176C6"/>
    <w:rsid w:val="6724386B"/>
    <w:rsid w:val="67C97F20"/>
    <w:rsid w:val="68007492"/>
    <w:rsid w:val="68462A23"/>
    <w:rsid w:val="68BF4B4D"/>
    <w:rsid w:val="68DB3760"/>
    <w:rsid w:val="69220486"/>
    <w:rsid w:val="69D12623"/>
    <w:rsid w:val="6B542FA1"/>
    <w:rsid w:val="6D2F1E33"/>
    <w:rsid w:val="6D4040CA"/>
    <w:rsid w:val="6E45518C"/>
    <w:rsid w:val="6ED062EB"/>
    <w:rsid w:val="77420E4E"/>
    <w:rsid w:val="77632882"/>
    <w:rsid w:val="7C901BE7"/>
    <w:rsid w:val="7CC83C3F"/>
    <w:rsid w:val="7D43243D"/>
    <w:rsid w:val="7D5F3AC9"/>
    <w:rsid w:val="7F7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2617</Words>
  <Characters>2764</Characters>
  <Lines>0</Lines>
  <Paragraphs>0</Paragraphs>
  <TotalTime>21</TotalTime>
  <ScaleCrop>false</ScaleCrop>
  <LinksUpToDate>false</LinksUpToDate>
  <CharactersWithSpaces>2894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2023-06-14T07:30:00Z</dcterms:created>
  <dc:creator>吴双彦</dc:creator>
  <cp:lastModifiedBy>annie</cp:lastModifiedBy>
  <dcterms:modified xsi:type="dcterms:W3CDTF">2023-06-17T08:17:51Z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90A367CE6B22437B8B09FFB22B288D2B_12</vt:lpwstr>
  </property>
</Properties>
</file>